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D429"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p>
    <w:p w14:paraId="0889CC44"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p>
    <w:p w14:paraId="296DF5FE"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p>
    <w:p w14:paraId="7A82C7F8" w14:textId="77777777" w:rsidR="00E16F1F" w:rsidRDefault="00E16F1F" w:rsidP="00E16F1F">
      <w:pPr>
        <w:widowControl w:val="0"/>
        <w:autoSpaceDE w:val="0"/>
        <w:autoSpaceDN w:val="0"/>
        <w:adjustRightInd w:val="0"/>
        <w:rPr>
          <w:rFonts w:ascii=".HelveticaNeueInterface-MediumP" w:hAnsi=".HelveticaNeueInterface-MediumP" w:cs=".HelveticaNeueInterface-MediumP"/>
          <w:b/>
          <w:bCs/>
          <w:sz w:val="84"/>
          <w:szCs w:val="84"/>
        </w:rPr>
      </w:pPr>
      <w:hyperlink r:id="rId4" w:history="1">
        <w:r>
          <w:rPr>
            <w:rFonts w:ascii=".HelveticaNeueInterface-MediumP" w:hAnsi=".HelveticaNeueInterface-MediumP" w:cs=".HelveticaNeueInterface-MediumP"/>
            <w:b/>
            <w:bCs/>
            <w:color w:val="007AFF"/>
            <w:sz w:val="64"/>
            <w:szCs w:val="64"/>
            <w:u w:val="single" w:color="007AFF"/>
          </w:rPr>
          <w:t>FORMICHE.NET</w:t>
        </w:r>
      </w:hyperlink>
    </w:p>
    <w:p w14:paraId="063E65DD" w14:textId="77777777" w:rsidR="00E16F1F" w:rsidRDefault="00E16F1F" w:rsidP="00E16F1F">
      <w:pPr>
        <w:widowControl w:val="0"/>
        <w:autoSpaceDE w:val="0"/>
        <w:autoSpaceDN w:val="0"/>
        <w:adjustRightInd w:val="0"/>
        <w:rPr>
          <w:rFonts w:ascii=".HelveticaNeueInterface-MediumP" w:hAnsi=".HelveticaNeueInterface-MediumP" w:cs=".HelveticaNeueInterface-MediumP"/>
          <w:b/>
          <w:bCs/>
          <w:sz w:val="84"/>
          <w:szCs w:val="84"/>
        </w:rPr>
      </w:pPr>
      <w:r>
        <w:rPr>
          <w:rFonts w:ascii=".HelveticaNeueInterface-MediumP" w:hAnsi=".HelveticaNeueInterface-MediumP" w:cs=".HelveticaNeueInterface-MediumP"/>
          <w:b/>
          <w:bCs/>
          <w:sz w:val="64"/>
          <w:szCs w:val="64"/>
        </w:rPr>
        <w:t>Idea per il governo Renzi: stati generali (in stile Usa) dello Sviluppo</w:t>
      </w:r>
    </w:p>
    <w:p w14:paraId="22D69100"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64"/>
          <w:szCs w:val="64"/>
        </w:rPr>
        <w:t>28 - 03 - 2015</w:t>
      </w:r>
      <w:hyperlink r:id="rId5" w:history="1">
        <w:r>
          <w:rPr>
            <w:rFonts w:ascii=".HelveticaNeueInterface-Regular" w:hAnsi=".HelveticaNeueInterface-Regular" w:cs=".HelveticaNeueInterface-Regular"/>
            <w:color w:val="0066CC"/>
            <w:sz w:val="64"/>
            <w:szCs w:val="64"/>
            <w:u w:val="single" w:color="0066CC"/>
          </w:rPr>
          <w:t>Antonello Di Mario</w:t>
        </w:r>
      </w:hyperlink>
      <w:r>
        <w:rPr>
          <w:rFonts w:ascii=".HelveticaNeueInterface-Regular" w:hAnsi=".HelveticaNeueInterface-Regular" w:cs=".HelveticaNeueInterface-Regular"/>
          <w:sz w:val="42"/>
          <w:szCs w:val="42"/>
        </w:rPr>
        <w:t xml:space="preserve"> </w:t>
      </w:r>
      <w:proofErr w:type="spellStart"/>
      <w:r>
        <w:rPr>
          <w:rFonts w:ascii=".HelveticaNeueInterface-Regular" w:hAnsi=".HelveticaNeueInterface-Regular" w:cs=".HelveticaNeueInterface-Regular"/>
          <w:sz w:val="42"/>
          <w:szCs w:val="42"/>
        </w:rPr>
        <w:t>Post-Thumbnail</w:t>
      </w:r>
      <w:proofErr w:type="spellEnd"/>
    </w:p>
    <w:p w14:paraId="1C856BF1"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noProof/>
        </w:rPr>
        <w:drawing>
          <wp:anchor distT="0" distB="0" distL="114300" distR="114300" simplePos="0" relativeHeight="251659264" behindDoc="0" locked="0" layoutInCell="1" allowOverlap="1" wp14:anchorId="4A567F6E" wp14:editId="73636D55">
            <wp:simplePos x="0" y="0"/>
            <wp:positionH relativeFrom="column">
              <wp:posOffset>0</wp:posOffset>
            </wp:positionH>
            <wp:positionV relativeFrom="paragraph">
              <wp:posOffset>0</wp:posOffset>
            </wp:positionV>
            <wp:extent cx="2926080" cy="1999615"/>
            <wp:effectExtent l="0" t="0" r="0" b="698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08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AC635"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MediumP" w:hAnsi=".HelveticaNeueInterface-MediumP" w:cs=".HelveticaNeueInterface-MediumP"/>
          <w:b/>
          <w:bCs/>
          <w:sz w:val="36"/>
          <w:szCs w:val="36"/>
        </w:rPr>
        <w:t xml:space="preserve">L'idea e le proposte di Antonello Di Mario, autore del libro "Aspettando la crescita" (Tullio </w:t>
      </w:r>
      <w:proofErr w:type="spellStart"/>
      <w:r>
        <w:rPr>
          <w:rFonts w:ascii=".HelveticaNeueInterface-MediumP" w:hAnsi=".HelveticaNeueInterface-MediumP" w:cs=".HelveticaNeueInterface-MediumP"/>
          <w:b/>
          <w:bCs/>
          <w:sz w:val="36"/>
          <w:szCs w:val="36"/>
        </w:rPr>
        <w:t>Pironti</w:t>
      </w:r>
      <w:proofErr w:type="spellEnd"/>
      <w:r>
        <w:rPr>
          <w:rFonts w:ascii=".HelveticaNeueInterface-MediumP" w:hAnsi=".HelveticaNeueInterface-MediumP" w:cs=".HelveticaNeueInterface-MediumP"/>
          <w:b/>
          <w:bCs/>
          <w:sz w:val="36"/>
          <w:szCs w:val="36"/>
        </w:rPr>
        <w:t xml:space="preserve"> editore)</w:t>
      </w:r>
    </w:p>
    <w:p w14:paraId="77E2A7EE"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42"/>
          <w:szCs w:val="42"/>
        </w:rPr>
        <w:t>&lt;</w:t>
      </w:r>
      <w:proofErr w:type="spellStart"/>
      <w:r>
        <w:rPr>
          <w:rFonts w:ascii=".HelveticaNeueInterface-Regular" w:hAnsi=".HelveticaNeueInterface-Regular" w:cs=".HelveticaNeueInterface-Regular"/>
          <w:sz w:val="42"/>
          <w:szCs w:val="42"/>
        </w:rPr>
        <w:t>EdIndex</w:t>
      </w:r>
      <w:proofErr w:type="spellEnd"/>
      <w:r>
        <w:rPr>
          <w:rFonts w:ascii=".HelveticaNeueInterface-Regular" w:hAnsi=".HelveticaNeueInterface-Regular" w:cs=".HelveticaNeueInterface-Regular"/>
          <w:sz w:val="42"/>
          <w:szCs w:val="42"/>
        </w:rPr>
        <w:t>&gt;</w:t>
      </w:r>
    </w:p>
    <w:p w14:paraId="4D515D01"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hyperlink r:id="rId7" w:history="1">
        <w:r>
          <w:rPr>
            <w:rFonts w:ascii=".HelveticaNeueInterface-MediumP" w:hAnsi=".HelveticaNeueInterface-MediumP" w:cs=".HelveticaNeueInterface-MediumP"/>
            <w:b/>
            <w:bCs/>
            <w:color w:val="007AFF"/>
            <w:sz w:val="36"/>
            <w:szCs w:val="36"/>
            <w:u w:val="single" w:color="007AFF"/>
          </w:rPr>
          <w:t>Lunedì 30 marzo</w:t>
        </w:r>
      </w:hyperlink>
      <w:r>
        <w:rPr>
          <w:rFonts w:ascii=".HelveticaNeueInterface-MediumP" w:hAnsi=".HelveticaNeueInterface-MediumP" w:cs=".HelveticaNeueInterface-MediumP"/>
          <w:b/>
          <w:bCs/>
          <w:sz w:val="36"/>
          <w:szCs w:val="36"/>
        </w:rPr>
        <w:t xml:space="preserve"> a Genova, alle ore 16.30, presso lo Star Hotels President, verrà presentato il libro “Aspettando la crescita. Scritti meccanici per lo sviluppo” di Antonello Di Mario (Tullio </w:t>
      </w:r>
      <w:proofErr w:type="spellStart"/>
      <w:r>
        <w:rPr>
          <w:rFonts w:ascii=".HelveticaNeueInterface-MediumP" w:hAnsi=".HelveticaNeueInterface-MediumP" w:cs=".HelveticaNeueInterface-MediumP"/>
          <w:b/>
          <w:bCs/>
          <w:sz w:val="36"/>
          <w:szCs w:val="36"/>
        </w:rPr>
        <w:t>Pironti</w:t>
      </w:r>
      <w:proofErr w:type="spellEnd"/>
      <w:r>
        <w:rPr>
          <w:rFonts w:ascii=".HelveticaNeueInterface-MediumP" w:hAnsi=".HelveticaNeueInterface-MediumP" w:cs=".HelveticaNeueInterface-MediumP"/>
          <w:b/>
          <w:bCs/>
          <w:sz w:val="36"/>
          <w:szCs w:val="36"/>
        </w:rPr>
        <w:t xml:space="preserve"> Editore). Ne discutono, presente l’autore, Roberta </w:t>
      </w:r>
      <w:proofErr w:type="spellStart"/>
      <w:r>
        <w:rPr>
          <w:rFonts w:ascii=".HelveticaNeueInterface-MediumP" w:hAnsi=".HelveticaNeueInterface-MediumP" w:cs=".HelveticaNeueInterface-MediumP"/>
          <w:b/>
          <w:bCs/>
          <w:sz w:val="36"/>
          <w:szCs w:val="36"/>
        </w:rPr>
        <w:t>Pinotti</w:t>
      </w:r>
      <w:proofErr w:type="spellEnd"/>
      <w:r>
        <w:rPr>
          <w:rFonts w:ascii=".HelveticaNeueInterface-MediumP" w:hAnsi=".HelveticaNeueInterface-MediumP" w:cs=".HelveticaNeueInterface-MediumP"/>
          <w:b/>
          <w:bCs/>
          <w:sz w:val="36"/>
          <w:szCs w:val="36"/>
        </w:rPr>
        <w:t xml:space="preserve">, ministro della Difesa, e Carmelo </w:t>
      </w:r>
      <w:proofErr w:type="spellStart"/>
      <w:r>
        <w:rPr>
          <w:rFonts w:ascii=".HelveticaNeueInterface-MediumP" w:hAnsi=".HelveticaNeueInterface-MediumP" w:cs=".HelveticaNeueInterface-MediumP"/>
          <w:b/>
          <w:bCs/>
          <w:sz w:val="36"/>
          <w:szCs w:val="36"/>
        </w:rPr>
        <w:t>Barbagallo</w:t>
      </w:r>
      <w:proofErr w:type="spellEnd"/>
      <w:r>
        <w:rPr>
          <w:rFonts w:ascii=".HelveticaNeueInterface-MediumP" w:hAnsi=".HelveticaNeueInterface-MediumP" w:cs=".HelveticaNeueInterface-MediumP"/>
          <w:b/>
          <w:bCs/>
          <w:sz w:val="36"/>
          <w:szCs w:val="36"/>
        </w:rPr>
        <w:t xml:space="preserve">, segretario generale della </w:t>
      </w:r>
      <w:proofErr w:type="spellStart"/>
      <w:r>
        <w:rPr>
          <w:rFonts w:ascii=".HelveticaNeueInterface-MediumP" w:hAnsi=".HelveticaNeueInterface-MediumP" w:cs=".HelveticaNeueInterface-MediumP"/>
          <w:b/>
          <w:bCs/>
          <w:sz w:val="36"/>
          <w:szCs w:val="36"/>
        </w:rPr>
        <w:t>Uil</w:t>
      </w:r>
      <w:proofErr w:type="spellEnd"/>
      <w:r>
        <w:rPr>
          <w:rFonts w:ascii=".HelveticaNeueInterface-MediumP" w:hAnsi=".HelveticaNeueInterface-MediumP" w:cs=".HelveticaNeueInterface-MediumP"/>
          <w:b/>
          <w:bCs/>
          <w:sz w:val="36"/>
          <w:szCs w:val="36"/>
        </w:rPr>
        <w:t>.</w:t>
      </w:r>
    </w:p>
    <w:p w14:paraId="4569DFD5"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lastRenderedPageBreak/>
        <w:t>E’ risaputo che il Paese può crescere in termini di ricchezza solo grazie agli investimenti pubblici e privati. E’ vitale avanzare proposte di politica economica utili alla ripresa. Quindi, è bene chiedere gli investimenti, ma lo è altrettanto indicare dove trovare le risorse per sostenerli.</w:t>
      </w:r>
      <w:r>
        <w:rPr>
          <w:rFonts w:ascii="MS Mincho" w:eastAsia="MS Mincho" w:hAnsi="MS Mincho" w:cs="MS Mincho"/>
          <w:sz w:val="36"/>
          <w:szCs w:val="36"/>
        </w:rPr>
        <w:t> </w:t>
      </w:r>
      <w:r>
        <w:rPr>
          <w:rFonts w:ascii=".HelveticaNeueInterface-Regular" w:hAnsi=".HelveticaNeueInterface-Regular" w:cs=".HelveticaNeueInterface-Regular"/>
          <w:sz w:val="36"/>
          <w:szCs w:val="36"/>
        </w:rPr>
        <w:t xml:space="preserve">L’Italia non ha una politica industriale e, a ben guardare, dalle centinaia e centinaia di progetti compresi nel pacchetto italiano recentemente inviato a Bruxelles per accedere ai finanziamenti del Fondo per gli Investimenti Strategici di Jean-Claude </w:t>
      </w:r>
      <w:proofErr w:type="spellStart"/>
      <w:r>
        <w:rPr>
          <w:rFonts w:ascii=".HelveticaNeueInterface-Regular" w:hAnsi=".HelveticaNeueInterface-Regular" w:cs=".HelveticaNeueInterface-Regular"/>
          <w:sz w:val="36"/>
          <w:szCs w:val="36"/>
        </w:rPr>
        <w:t>Juncker</w:t>
      </w:r>
      <w:proofErr w:type="spellEnd"/>
      <w:r>
        <w:rPr>
          <w:rFonts w:ascii=".HelveticaNeueInterface-Regular" w:hAnsi=".HelveticaNeueInterface-Regular" w:cs=".HelveticaNeueInterface-Regular"/>
          <w:sz w:val="36"/>
          <w:szCs w:val="36"/>
        </w:rPr>
        <w:t>, si ricava l’impressione della difficoltà esistente. Si potrebbe prendere spunto dagli Usa e convocare degli Stati Generali su innovazione e tecnologia per scegliere in quali settori strategici concentrare le scarse risorse che il Paese potrebbe essere in grado di mobilitare nel breve periodo, al fine di riavviare la ripresa economica, rovesciare le aspettative, riconquistare la rilevanza di un tempo nella produzione manifatturiera continentale.</w:t>
      </w:r>
    </w:p>
    <w:p w14:paraId="09BCBA82"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Il riferimento agli Stati Uniti d’America non è alla fase attuale, ma agli anni Ottanta, quando il nuovo continente ha combattuto una lotta senza quartiere contro l’Unione Sovietica e il Giappone per la supremazia tecnologica mondiale. Gli Usa stavano vivendo sin dagli anni Settanta una profonda caduta della produttività del lavoro e dei fattori di produzione, che aveva trasformato il Paese da esportatore netto a importatore netto di macchine che producono macchine, e rilanciato l’immagine di un Paese minacciato dall’aggravarsi della Guerra Fredda e dalla crescita industriale del Giappone.</w:t>
      </w:r>
    </w:p>
    <w:p w14:paraId="284BD5AF"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 xml:space="preserve">L’elezione di Ronald Reagan a quarantesimo presidente degli Stati Uniti (1981-1989) segnò l’inizio dell’epoca della “Difesa Prioritaria” contro la minaccia militare sovietica e la sfida economica del Giappone. Narrano le cronache dell’epoca che, all’indomani dell’elezione alla Casa Bianca, Ronald Reagan convocasse meeting </w:t>
      </w:r>
      <w:r>
        <w:rPr>
          <w:rFonts w:ascii=".HelveticaNeueInterface-Regular" w:hAnsi=".HelveticaNeueInterface-Regular" w:cs=".HelveticaNeueInterface-Regular"/>
          <w:sz w:val="36"/>
          <w:szCs w:val="36"/>
        </w:rPr>
        <w:lastRenderedPageBreak/>
        <w:t>con i più importanti scienziati ed economisti del Paese per individuare le direttrici strategiche su cui concentrare l’azione del governo, al fine di riconquistare la leadership tecnologica mondiale.</w:t>
      </w:r>
    </w:p>
    <w:p w14:paraId="005166DB"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 xml:space="preserve">L’esito della strategia della “superiorità tecnologica” è ben noto. Fu rafforzato e sviluppato il programma “Space Shuttle”, fu dato inizio il progetto dello “Scudo spaziale” e furono avviate estese partnership tra governo, industrie e università, come la National Engineering </w:t>
      </w:r>
      <w:proofErr w:type="spellStart"/>
      <w:r>
        <w:rPr>
          <w:rFonts w:ascii=".HelveticaNeueInterface-Regular" w:hAnsi=".HelveticaNeueInterface-Regular" w:cs=".HelveticaNeueInterface-Regular"/>
          <w:sz w:val="36"/>
          <w:szCs w:val="36"/>
        </w:rPr>
        <w:t>Action</w:t>
      </w:r>
      <w:proofErr w:type="spellEnd"/>
      <w:r>
        <w:rPr>
          <w:rFonts w:ascii=".HelveticaNeueInterface-Regular" w:hAnsi=".HelveticaNeueInterface-Regular" w:cs=".HelveticaNeueInterface-Regular"/>
          <w:sz w:val="36"/>
          <w:szCs w:val="36"/>
        </w:rPr>
        <w:t xml:space="preserve"> Conference, per sviluppare gli studi di tipo tecnologico.</w:t>
      </w:r>
    </w:p>
    <w:p w14:paraId="4DE38F96"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Le conseguenze di questi ambiziosi programmi possono essere rappresentate attraverso la dinamica dell’industria dei semiconduttori. Nel 1980 l’industria dei semiconduttori vedeva la supremazia statunitense (oltre il 50% della produzione mondiale), mentre la quota del Giappone raggiungeva appena il 25%.</w:t>
      </w:r>
    </w:p>
    <w:p w14:paraId="2E0857E5"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Negli anni Ottanta, il Giappone si concentrò nella produzione di semiconduttori, di elevata capacità, stabilità ed economicità, e nel 1987 la produzione giapponese raggiunse livelli elevatissimi, l’80%, spinta principalmente dalla creazione di videogiochi di cui deteneva il primato mondiale .Gli Usa reagirono imponendo sanzioni temporanee sui prodotti giapponesi e rilanciando la ricerca e l’innovazione.</w:t>
      </w:r>
    </w:p>
    <w:p w14:paraId="1120AB5C"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Nel 1993 Intel avviò la commercializzazione della serie “Pentium” e Microsoft quella di “Windows 3.1”. Nel 1994 gli Usa riconquistarono la leadership del mercato dei semiconduttori, al 43%, e nel 1994, grazie anche al sopraggiungere dei produttori coreani e cinesi confinarono la produzione giapponese al 28% del totale. Negli anni 2000 è proseguito il ridimensionamento dell’industria giapponese dei semiconduttori e oggi il gigante Intel è seguito dalla coreana Samsung.</w:t>
      </w:r>
    </w:p>
    <w:p w14:paraId="2D5AA09F"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 xml:space="preserve">L’esempio di quello che è accaduto al di là dell’Oceano può </w:t>
      </w:r>
      <w:r>
        <w:rPr>
          <w:rFonts w:ascii=".HelveticaNeueInterface-Regular" w:hAnsi=".HelveticaNeueInterface-Regular" w:cs=".HelveticaNeueInterface-Regular"/>
          <w:sz w:val="36"/>
          <w:szCs w:val="36"/>
        </w:rPr>
        <w:lastRenderedPageBreak/>
        <w:t>rappresentare il paradigma su cui impostare un’azione a favore della ripresa nazionale, guardando in faccia la realtà esistente. Permangono, infatti, molte perplessità sulla capacità degli stimoli alla domanda interna privata e della crescita in valore degli attivi della bilancia commerciale al fine di accrescere la domanda aggregata, e di stimolare la ripresa economica.</w:t>
      </w:r>
    </w:p>
    <w:p w14:paraId="08D0B015"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L’unica possibilità è proprio quella di avviare una campagna di investimenti pubblici per diverse decine di miliardi di euro, con cui scuotere dalle fondamenta l’ingessato e agonizzante sistema economico nazionale. Alcune urgenze sono ben note: investimenti infrastrutturali di rete, energia, piano straordinario per l’edilizia popolare, piano per la sicurezza sismica e idrogeologica. Altre priorità potrebbero emergere come assi strategici dagli Stati Generali per lo sviluppo da convocare in ambito nazionale.</w:t>
      </w:r>
    </w:p>
    <w:p w14:paraId="48FFD192"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Ma, tra l’individuazione delle urgenze a cui rispondere con investimenti adeguati e la ricerca delle risorse per riuscire a fronteggiarle, esiste lo spazio per concrete proposte. Per esempio, si potrebbe mobilizzare una parte, quella non strategica, dell’immenso patrimonio pubblico dell’Italia stimato tra i 1.800 e i 1.000 miliardi di euro considerata immediatamente liquidabile, costituita da immobili, concessioni, crediti e partecipazioni.</w:t>
      </w:r>
    </w:p>
    <w:p w14:paraId="1917B3DF"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Come farlo? Attraverso la costituzione di un fondo in cui far confluire una piccola parte del suddetto patrimonio, qualche decina di miliardi di euro, e collocando quote del medesimo fondo tra i grandi possessori di liquidità del Paese: assicurazioni, fondi pensione, fondi d’investimento e strategici, casse previdenziali, Cassa Depositi e Prestiti. Tale fondo avrebbe il compito di vendere gli “</w:t>
      </w:r>
      <w:proofErr w:type="spellStart"/>
      <w:r>
        <w:rPr>
          <w:rFonts w:ascii=".HelveticaNeueInterface-Regular" w:hAnsi=".HelveticaNeueInterface-Regular" w:cs=".HelveticaNeueInterface-Regular"/>
          <w:sz w:val="36"/>
          <w:szCs w:val="36"/>
        </w:rPr>
        <w:t>asset</w:t>
      </w:r>
      <w:proofErr w:type="spellEnd"/>
      <w:r>
        <w:rPr>
          <w:rFonts w:ascii=".HelveticaNeueInterface-Regular" w:hAnsi=".HelveticaNeueInterface-Regular" w:cs=".HelveticaNeueInterface-Regular"/>
          <w:sz w:val="36"/>
          <w:szCs w:val="36"/>
        </w:rPr>
        <w:t xml:space="preserve">” entro un lustro, </w:t>
      </w:r>
      <w:proofErr w:type="spellStart"/>
      <w:r>
        <w:rPr>
          <w:rFonts w:ascii=".HelveticaNeueInterface-Regular" w:hAnsi=".HelveticaNeueInterface-Regular" w:cs=".HelveticaNeueInterface-Regular"/>
          <w:sz w:val="36"/>
          <w:szCs w:val="36"/>
        </w:rPr>
        <w:t>renumerando</w:t>
      </w:r>
      <w:proofErr w:type="spellEnd"/>
      <w:r>
        <w:rPr>
          <w:rFonts w:ascii=".HelveticaNeueInterface-Regular" w:hAnsi=".HelveticaNeueInterface-Regular" w:cs=".HelveticaNeueInterface-Regular"/>
          <w:sz w:val="36"/>
          <w:szCs w:val="36"/>
        </w:rPr>
        <w:t xml:space="preserve"> i titolari delle quote con un tasso pari a quelli versati per i titoli di stato di uguale scadenza. L’operazione di </w:t>
      </w:r>
      <w:proofErr w:type="spellStart"/>
      <w:r>
        <w:rPr>
          <w:rFonts w:ascii=".HelveticaNeueInterface-Regular" w:hAnsi=".HelveticaNeueInterface-Regular" w:cs=".HelveticaNeueInterface-Regular"/>
          <w:sz w:val="36"/>
          <w:szCs w:val="36"/>
        </w:rPr>
        <w:t>cartolarizzazione</w:t>
      </w:r>
      <w:proofErr w:type="spellEnd"/>
      <w:r>
        <w:rPr>
          <w:rFonts w:ascii=".HelveticaNeueInterface-Regular" w:hAnsi=".HelveticaNeueInterface-Regular" w:cs=".HelveticaNeueInterface-Regular"/>
          <w:sz w:val="36"/>
          <w:szCs w:val="36"/>
        </w:rPr>
        <w:t xml:space="preserve"> descritta,per entità e modalità, </w:t>
      </w:r>
      <w:r>
        <w:rPr>
          <w:rFonts w:ascii=".HelveticaNeueInterface-Regular" w:hAnsi=".HelveticaNeueInterface-Regular" w:cs=".HelveticaNeueInterface-Regular"/>
          <w:sz w:val="36"/>
          <w:szCs w:val="36"/>
        </w:rPr>
        <w:lastRenderedPageBreak/>
        <w:t>non creerebbe problemi agli operatori coinvolti e non violerebbe gli impegni assunti coi trattati comunitari.</w:t>
      </w:r>
    </w:p>
    <w:p w14:paraId="3D5C1FB8"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r>
        <w:rPr>
          <w:rFonts w:ascii=".HelveticaNeueInterface-Regular" w:hAnsi=".HelveticaNeueInterface-Regular" w:cs=".HelveticaNeueInterface-Regular"/>
          <w:sz w:val="36"/>
          <w:szCs w:val="36"/>
        </w:rPr>
        <w:t xml:space="preserve">Spetterebbe, quindi, al Ministero dell’Economia stabilire la natura giuridica del fondo in questione ed eventuali garanzie ulteriori. Ma sia in un caso che nell’altro, l’auspicata </w:t>
      </w:r>
      <w:proofErr w:type="spellStart"/>
      <w:r>
        <w:rPr>
          <w:rFonts w:ascii=".HelveticaNeueInterface-Regular" w:hAnsi=".HelveticaNeueInterface-Regular" w:cs=".HelveticaNeueInterface-Regular"/>
          <w:sz w:val="36"/>
          <w:szCs w:val="36"/>
        </w:rPr>
        <w:t>cartolarizzazione</w:t>
      </w:r>
      <w:proofErr w:type="spellEnd"/>
      <w:r>
        <w:rPr>
          <w:rFonts w:ascii=".HelveticaNeueInterface-Regular" w:hAnsi=".HelveticaNeueInterface-Regular" w:cs=".HelveticaNeueInterface-Regular"/>
          <w:sz w:val="36"/>
          <w:szCs w:val="36"/>
        </w:rPr>
        <w:t xml:space="preserve"> servirebbe a finanziare la spesa per investimenti, anziché ridurre esclusivamente il debito pubblico. Si tratta di un’ipotesi che andrebbe programmata con cura e gestita con lungimiranza,perché indispensabile soprattutto agli investimenti materiali ed immateriali rivolti principalmente al settore industriale e a quello manifatturiero,in particolare. L’indicazione, insomma, di una via da percorrere per riagganciare la crescita, secondo la logica per cui, per guardare a ripresa e sviluppo, è fondamentale anche porsi domande logiche, facendole seguire da risposte possibili.</w:t>
      </w:r>
    </w:p>
    <w:p w14:paraId="1239A80B" w14:textId="77777777" w:rsidR="00E16F1F" w:rsidRDefault="00E16F1F" w:rsidP="00E16F1F">
      <w:pPr>
        <w:widowControl w:val="0"/>
        <w:autoSpaceDE w:val="0"/>
        <w:autoSpaceDN w:val="0"/>
        <w:adjustRightInd w:val="0"/>
        <w:rPr>
          <w:rFonts w:ascii=".HelveticaNeueInterface-Regular" w:hAnsi=".HelveticaNeueInterface-Regular" w:cs=".HelveticaNeueInterface-Regular"/>
          <w:sz w:val="42"/>
          <w:szCs w:val="42"/>
        </w:rPr>
      </w:pPr>
    </w:p>
    <w:p w14:paraId="48F06B70" w14:textId="77777777" w:rsidR="00E16F1F" w:rsidRDefault="00E16F1F">
      <w:bookmarkStart w:id="0" w:name="_GoBack"/>
      <w:bookmarkEnd w:id="0"/>
    </w:p>
    <w:sectPr w:rsidR="00E16F1F" w:rsidSect="00B743F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NeueInterface-Regular">
    <w:altName w:val="Calibri"/>
    <w:panose1 w:val="00000000000000000000"/>
    <w:charset w:val="00"/>
    <w:family w:val="auto"/>
    <w:notTrueType/>
    <w:pitch w:val="default"/>
    <w:sig w:usb0="00000003" w:usb1="00000000" w:usb2="00000000" w:usb3="00000000" w:csb0="00000001" w:csb1="00000000"/>
  </w:font>
  <w:font w:name=".HelveticaNeueInterface-MediumP">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1F"/>
    <w:rsid w:val="00E16F1F"/>
    <w:rsid w:val="00FC23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0ED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ormiche.net/" TargetMode="External"/><Relationship Id="rId5" Type="http://schemas.openxmlformats.org/officeDocument/2006/relationships/hyperlink" Target="http://www.formiche.net/author/antonello-di-mario/" TargetMode="External"/><Relationship Id="rId6" Type="http://schemas.openxmlformats.org/officeDocument/2006/relationships/image" Target="media/image1.jpeg"/><Relationship Id="rId7" Type="http://schemas.openxmlformats.org/officeDocument/2006/relationships/hyperlink" Target="x-apple-data-detectors://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6184</Characters>
  <Application>Microsoft Macintosh Word</Application>
  <DocSecurity>0</DocSecurity>
  <Lines>51</Lines>
  <Paragraphs>14</Paragraphs>
  <ScaleCrop>false</ScaleCrop>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murtas</dc:creator>
  <cp:keywords/>
  <dc:description/>
  <cp:lastModifiedBy>luana murtas</cp:lastModifiedBy>
  <cp:revision>2</cp:revision>
  <dcterms:created xsi:type="dcterms:W3CDTF">2015-03-29T10:34:00Z</dcterms:created>
  <dcterms:modified xsi:type="dcterms:W3CDTF">2015-03-29T10:34:00Z</dcterms:modified>
</cp:coreProperties>
</file>